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642" w:rsidRPr="001F6FF9" w:rsidRDefault="00843C87" w:rsidP="00491642">
      <w:pPr>
        <w:jc w:val="center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Ata Nº 638</w:t>
      </w:r>
    </w:p>
    <w:p w:rsidR="00491642" w:rsidRPr="001F6FF9" w:rsidRDefault="00491642" w:rsidP="00491642">
      <w:pPr>
        <w:jc w:val="center"/>
        <w:rPr>
          <w:rFonts w:asciiTheme="minorHAnsi" w:hAnsiTheme="minorHAnsi" w:cstheme="minorHAnsi"/>
          <w:b/>
          <w:bCs/>
          <w:sz w:val="24"/>
        </w:rPr>
      </w:pPr>
    </w:p>
    <w:p w:rsidR="00491642" w:rsidRPr="001F6FF9" w:rsidRDefault="00491642" w:rsidP="00491642">
      <w:pPr>
        <w:ind w:left="567"/>
        <w:jc w:val="both"/>
        <w:rPr>
          <w:rFonts w:asciiTheme="minorHAnsi" w:hAnsiTheme="minorHAnsi" w:cstheme="minorHAnsi"/>
          <w:sz w:val="24"/>
        </w:rPr>
      </w:pPr>
      <w:r w:rsidRPr="001F6FF9">
        <w:rPr>
          <w:rFonts w:asciiTheme="minorHAnsi" w:hAnsiTheme="minorHAnsi" w:cstheme="minorHAnsi"/>
          <w:sz w:val="24"/>
        </w:rPr>
        <w:t>Aos dez</w:t>
      </w:r>
      <w:r w:rsidR="00957B3E">
        <w:rPr>
          <w:rFonts w:asciiTheme="minorHAnsi" w:hAnsiTheme="minorHAnsi" w:cstheme="minorHAnsi"/>
          <w:sz w:val="24"/>
        </w:rPr>
        <w:t xml:space="preserve">essete </w:t>
      </w:r>
      <w:r w:rsidR="00A26E59">
        <w:rPr>
          <w:rFonts w:asciiTheme="minorHAnsi" w:hAnsiTheme="minorHAnsi" w:cstheme="minorHAnsi"/>
          <w:sz w:val="24"/>
        </w:rPr>
        <w:t>dias do mês de abril</w:t>
      </w:r>
      <w:bookmarkStart w:id="0" w:name="_GoBack"/>
      <w:bookmarkEnd w:id="0"/>
      <w:r w:rsidRPr="001F6FF9">
        <w:rPr>
          <w:rFonts w:asciiTheme="minorHAnsi" w:hAnsiTheme="minorHAnsi" w:cstheme="minorHAnsi"/>
          <w:sz w:val="24"/>
        </w:rPr>
        <w:t xml:space="preserve"> ano de dois mil e vinte e seis, tendo por local a Câmara Municipal de Vereadores de Chapada, reuniram-se os membros da Comissão de Constituição, Justiça, Cidadania e Bem Estar Social, em reunião ordinária, para analisar os seguintes projetos de Lei:</w:t>
      </w:r>
      <w:r w:rsidR="00957B3E">
        <w:rPr>
          <w:rFonts w:asciiTheme="minorHAnsi" w:hAnsiTheme="minorHAnsi" w:cstheme="minorHAnsi"/>
          <w:sz w:val="24"/>
        </w:rPr>
        <w:t xml:space="preserve"> </w:t>
      </w:r>
      <w:r w:rsidR="00957B3E" w:rsidRPr="00957B3E">
        <w:rPr>
          <w:rFonts w:asciiTheme="minorHAnsi" w:hAnsiTheme="minorHAnsi" w:cstheme="minorHAnsi"/>
          <w:b/>
          <w:sz w:val="24"/>
        </w:rPr>
        <w:t>PROJETO DE LEI Nº 015/2026</w:t>
      </w:r>
      <w:r w:rsidR="00957B3E">
        <w:rPr>
          <w:rFonts w:asciiTheme="minorHAnsi" w:hAnsiTheme="minorHAnsi" w:cstheme="minorHAnsi"/>
          <w:sz w:val="24"/>
        </w:rPr>
        <w:t xml:space="preserve"> – Autoriza o Poder Executivo a contratar temporariamente servidores por excepcional interesse público, e dá outras providências. </w:t>
      </w:r>
      <w:r w:rsidRPr="001F6FF9">
        <w:rPr>
          <w:rFonts w:asciiTheme="minorHAnsi" w:hAnsiTheme="minorHAnsi" w:cstheme="minorHAnsi"/>
          <w:sz w:val="24"/>
        </w:rPr>
        <w:t xml:space="preserve">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 </w:t>
      </w:r>
    </w:p>
    <w:p w:rsidR="00491642" w:rsidRPr="001F6FF9" w:rsidRDefault="00491642" w:rsidP="00491642">
      <w:pPr>
        <w:rPr>
          <w:rFonts w:asciiTheme="minorHAnsi" w:hAnsiTheme="minorHAnsi" w:cstheme="minorHAnsi"/>
          <w:sz w:val="24"/>
        </w:rPr>
      </w:pPr>
    </w:p>
    <w:p w:rsidR="00491642" w:rsidRPr="001F6FF9" w:rsidRDefault="00491642" w:rsidP="00491642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491642" w:rsidRDefault="00491642" w:rsidP="00491642">
      <w:pPr>
        <w:tabs>
          <w:tab w:val="left" w:pos="3136"/>
        </w:tabs>
        <w:jc w:val="center"/>
        <w:rPr>
          <w:rFonts w:ascii="Century Gothic" w:hAnsi="Century Gothic"/>
          <w:b/>
          <w:szCs w:val="28"/>
          <w:u w:val="single"/>
        </w:rPr>
      </w:pPr>
    </w:p>
    <w:p w:rsidR="00491642" w:rsidRDefault="00491642" w:rsidP="00491642"/>
    <w:p w:rsidR="00134592" w:rsidRDefault="00134592"/>
    <w:sectPr w:rsidR="00134592" w:rsidSect="005970BD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5AE" w:rsidRDefault="008905AE">
      <w:r>
        <w:separator/>
      </w:r>
    </w:p>
  </w:endnote>
  <w:endnote w:type="continuationSeparator" w:id="0">
    <w:p w:rsidR="008905AE" w:rsidRDefault="00890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843C87">
    <w:pPr>
      <w:pStyle w:val="Rodap"/>
    </w:pPr>
    <w:r>
      <w:rPr>
        <w:noProof/>
        <w:lang w:eastAsia="pt-BR"/>
      </w:rPr>
      <w:drawing>
        <wp:inline distT="0" distB="0" distL="0" distR="0" wp14:anchorId="4310441E" wp14:editId="6211F85B">
          <wp:extent cx="5737225" cy="457219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71A382" wp14:editId="309A9402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3D41" w:rsidRPr="00803D67" w:rsidRDefault="00843C87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671A382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533D41" w:rsidRPr="00803D67" w:rsidRDefault="00843C87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2CEC24" wp14:editId="176BEBA2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4CAC96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533D41" w:rsidRDefault="008905A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5AE" w:rsidRDefault="008905AE">
      <w:r>
        <w:separator/>
      </w:r>
    </w:p>
  </w:footnote>
  <w:footnote w:type="continuationSeparator" w:id="0">
    <w:p w:rsidR="008905AE" w:rsidRDefault="008905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843C87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56F31D44" wp14:editId="47B698C9">
          <wp:extent cx="6581775" cy="728777"/>
          <wp:effectExtent l="19050" t="0" r="9525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D41" w:rsidRDefault="008905A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642"/>
    <w:rsid w:val="00134592"/>
    <w:rsid w:val="00491642"/>
    <w:rsid w:val="00843C87"/>
    <w:rsid w:val="008905AE"/>
    <w:rsid w:val="00957B3E"/>
    <w:rsid w:val="00A2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423D76-84A3-4A68-AD50-4755D795C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6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164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91642"/>
  </w:style>
  <w:style w:type="paragraph" w:styleId="Rodap">
    <w:name w:val="footer"/>
    <w:basedOn w:val="Normal"/>
    <w:link w:val="RodapChar"/>
    <w:uiPriority w:val="99"/>
    <w:unhideWhenUsed/>
    <w:rsid w:val="0049164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91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4</cp:revision>
  <dcterms:created xsi:type="dcterms:W3CDTF">2026-10-15T17:32:00Z</dcterms:created>
  <dcterms:modified xsi:type="dcterms:W3CDTF">2026-10-15T17:45:00Z</dcterms:modified>
</cp:coreProperties>
</file>